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558" w:rsidRPr="009E3419" w:rsidRDefault="00934558" w:rsidP="00934558">
      <w:pPr>
        <w:jc w:val="center"/>
        <w:rPr>
          <w:rStyle w:val="ListLabel857"/>
          <w:rFonts w:ascii="GHEA Grapalat" w:hAnsi="GHEA Grapalat" w:cs="Mangal"/>
          <w:b/>
          <w:color w:val="auto"/>
          <w:spacing w:val="-1"/>
          <w:lang w:val="hy-AM"/>
        </w:rPr>
      </w:pPr>
      <w:r w:rsidRPr="009E3419">
        <w:rPr>
          <w:rStyle w:val="ListLabel857"/>
          <w:rFonts w:ascii="GHEA Grapalat" w:hAnsi="GHEA Grapalat" w:cs="Mangal"/>
          <w:b/>
          <w:color w:val="auto"/>
          <w:spacing w:val="-1"/>
          <w:lang w:val="hy-AM"/>
        </w:rPr>
        <w:t>ՀԱՎԵԼՎԱԾ 2-1-2</w:t>
      </w:r>
    </w:p>
    <w:p w:rsidR="00934558" w:rsidRPr="009E3419" w:rsidRDefault="00934558" w:rsidP="00934558">
      <w:pPr>
        <w:jc w:val="center"/>
        <w:rPr>
          <w:rStyle w:val="ListLabel857"/>
          <w:rFonts w:ascii="GHEA Grapalat" w:hAnsi="GHEA Grapalat" w:cs="Mangal"/>
          <w:b/>
          <w:color w:val="auto"/>
          <w:spacing w:val="-1"/>
          <w:u w:val="none"/>
          <w:lang w:val="hy-AM"/>
        </w:rPr>
      </w:pPr>
      <w:r w:rsidRPr="009E3419">
        <w:rPr>
          <w:rStyle w:val="ListLabel857"/>
          <w:rFonts w:ascii="GHEA Grapalat" w:hAnsi="GHEA Grapalat" w:cs="Mangal"/>
          <w:b/>
          <w:color w:val="auto"/>
          <w:spacing w:val="-1"/>
          <w:u w:val="none"/>
          <w:lang w:val="hy-AM"/>
        </w:rPr>
        <w:t>ՍԻՆԳԱՊՈՒՐԻ ՍԱԿԱԳՆԱՅԻՆՊԱՐՏԱՎՈՐՈՒԹՅՈՒՆՆԵՐԻ ՑԱՆԿ</w:t>
      </w:r>
    </w:p>
    <w:p w:rsidR="00934558" w:rsidRPr="009E3419" w:rsidRDefault="00934558" w:rsidP="00934558">
      <w:pPr>
        <w:jc w:val="both"/>
        <w:rPr>
          <w:rStyle w:val="ListLabel857"/>
          <w:rFonts w:ascii="GHEA Grapalat" w:hAnsi="GHEA Grapalat" w:cs="Mangal"/>
          <w:b/>
          <w:color w:val="auto"/>
          <w:spacing w:val="-1"/>
          <w:u w:val="none"/>
          <w:lang w:val="hy-AM"/>
        </w:rPr>
      </w:pPr>
    </w:p>
    <w:p w:rsidR="00934558" w:rsidRPr="009E3419" w:rsidRDefault="00934558" w:rsidP="009E3419">
      <w:pPr>
        <w:pStyle w:val="ListParagraph"/>
        <w:numPr>
          <w:ilvl w:val="0"/>
          <w:numId w:val="3"/>
        </w:numPr>
        <w:jc w:val="both"/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</w:pPr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Սույն ցանկի դրույթները համապատասխանում են Ապրանքների դասակարգման, 2018-ին </w:t>
      </w:r>
      <w:proofErr w:type="spellStart"/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Սինգապուրի</w:t>
      </w:r>
      <w:proofErr w:type="spellEnd"/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մաքսային և ակցիզային </w:t>
      </w:r>
      <w:proofErr w:type="spellStart"/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տուրքերին</w:t>
      </w:r>
      <w:proofErr w:type="spellEnd"/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(այսուհետ`</w:t>
      </w:r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ԱԴՄԱՏ</w:t>
      </w:r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), և </w:t>
      </w:r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սո</w:t>
      </w:r>
      <w:r w:rsidR="00EB1EEC">
        <w:rPr>
          <w:rStyle w:val="ListLabel857"/>
          <w:rFonts w:ascii="GHEA Grapalat" w:hAnsi="GHEA Grapalat" w:cs="Mangal"/>
          <w:color w:val="auto"/>
          <w:spacing w:val="-1"/>
          <w:u w:val="none"/>
        </w:rPr>
        <w:t>ւ</w:t>
      </w:r>
      <w:proofErr w:type="spellStart"/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յն</w:t>
      </w:r>
      <w:proofErr w:type="spellEnd"/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ցանկի</w:t>
      </w:r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բացատրությունները, ներառյալ </w:t>
      </w:r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սույն </w:t>
      </w:r>
      <w:bookmarkStart w:id="0" w:name="_GoBack"/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ց</w:t>
      </w:r>
      <w:proofErr w:type="spellStart"/>
      <w:r w:rsidR="00E1120C">
        <w:rPr>
          <w:rStyle w:val="ListLabel857"/>
          <w:rFonts w:ascii="GHEA Grapalat" w:hAnsi="GHEA Grapalat" w:cs="Mangal"/>
          <w:color w:val="auto"/>
          <w:spacing w:val="-1"/>
          <w:u w:val="none"/>
        </w:rPr>
        <w:t>անկի</w:t>
      </w:r>
      <w:bookmarkEnd w:id="0"/>
      <w:proofErr w:type="spellEnd"/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ապրանքային ընդգրկումը, պետք է կարգավորվեն ընդհանուր </w:t>
      </w:r>
      <w:proofErr w:type="spellStart"/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ծանուցումներով</w:t>
      </w:r>
      <w:proofErr w:type="spellEnd"/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,</w:t>
      </w:r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</w:t>
      </w:r>
      <w:r w:rsidR="00B4046D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բաժնի </w:t>
      </w:r>
      <w:proofErr w:type="spellStart"/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ծանուցումներով</w:t>
      </w:r>
      <w:proofErr w:type="spellEnd"/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, գլուխների </w:t>
      </w:r>
      <w:proofErr w:type="spellStart"/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ծանուցումներով</w:t>
      </w:r>
      <w:proofErr w:type="spellEnd"/>
      <w:r w:rsidR="00B4046D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</w:t>
      </w:r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և </w:t>
      </w:r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ԱԴՄԱՏ</w:t>
      </w:r>
      <w:r w:rsidR="00B4046D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</w:t>
      </w:r>
      <w:proofErr w:type="spellStart"/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ենթավերնագրերի</w:t>
      </w:r>
      <w:proofErr w:type="spellEnd"/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</w:t>
      </w:r>
      <w:proofErr w:type="spellStart"/>
      <w:r w:rsidR="00B4046D"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ծանուցումներով</w:t>
      </w:r>
      <w:proofErr w:type="spellEnd"/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:</w:t>
      </w:r>
    </w:p>
    <w:p w:rsidR="009E3419" w:rsidRPr="009E3419" w:rsidRDefault="009E3419" w:rsidP="009E3419">
      <w:pPr>
        <w:pStyle w:val="ListParagraph"/>
        <w:ind w:left="1080"/>
        <w:jc w:val="both"/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</w:pPr>
    </w:p>
    <w:p w:rsidR="00EB1EEC" w:rsidRPr="00EB1EEC" w:rsidRDefault="00D141ED" w:rsidP="00EB1EEC">
      <w:pPr>
        <w:pStyle w:val="ListParagraph"/>
        <w:numPr>
          <w:ilvl w:val="0"/>
          <w:numId w:val="3"/>
        </w:numPr>
        <w:jc w:val="both"/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</w:pPr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Պարտավորությունների </w:t>
      </w:r>
      <w:r w:rsidRPr="00D141E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տվյալ </w:t>
      </w:r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ցանկում սահմանված</w:t>
      </w:r>
      <w:r w:rsidRPr="00D141E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տուրքերի բազային դրույքաչափը </w:t>
      </w:r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արտացոլում է </w:t>
      </w:r>
      <w:proofErr w:type="spellStart"/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Սինգապուրի</w:t>
      </w:r>
      <w:proofErr w:type="spellEnd"/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</w:t>
      </w:r>
      <w:r w:rsidRPr="00ED4BC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ԱԲՌ</w:t>
      </w:r>
      <w:r w:rsidR="00ED4BC9">
        <w:rPr>
          <w:rStyle w:val="BodyTextChar"/>
          <w:rFonts w:ascii="GHEA Grapalat" w:eastAsia="Arial Unicode MS" w:hAnsi="GHEA Grapalat"/>
          <w:spacing w:val="-1"/>
          <w:sz w:val="24"/>
          <w:szCs w:val="24"/>
          <w:lang w:val="en-US"/>
        </w:rPr>
        <w:t xml:space="preserve"> </w:t>
      </w:r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տուրքի դրույքաչափը`</w:t>
      </w:r>
      <w:r w:rsidRPr="00D141E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</w:t>
      </w:r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համաձայն </w:t>
      </w:r>
      <w:r w:rsidRPr="00B4046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ԱԴՄԱՏ</w:t>
      </w:r>
      <w:r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 </w:t>
      </w:r>
      <w:r w:rsidR="009E3419" w:rsidRPr="009E3419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- ի, 2018 թվականի նոյեմբերի 1-ի դրությամբ</w:t>
      </w:r>
      <w:r w:rsidRPr="00D141ED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:</w:t>
      </w:r>
    </w:p>
    <w:p w:rsidR="00EB1EEC" w:rsidRPr="00EB1EEC" w:rsidRDefault="00EB1EEC" w:rsidP="00EB1EEC">
      <w:pPr>
        <w:pStyle w:val="ListParagraph"/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</w:pPr>
    </w:p>
    <w:p w:rsidR="009E3419" w:rsidRPr="00EB1EEC" w:rsidRDefault="009E3419" w:rsidP="00EB1EEC">
      <w:pPr>
        <w:pStyle w:val="ListParagraph"/>
        <w:numPr>
          <w:ilvl w:val="0"/>
          <w:numId w:val="3"/>
        </w:numPr>
        <w:jc w:val="both"/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</w:pPr>
      <w:r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2.6-րդ հոդվածի համաձայն (</w:t>
      </w:r>
      <w:r w:rsidR="00EB1EEC" w:rsidRPr="00EB1EEC">
        <w:rPr>
          <w:rStyle w:val="ListLabel857"/>
          <w:rFonts w:ascii="GHEA Grapalat" w:hAnsi="GHEA Grapalat" w:cs="Sylfaen"/>
          <w:color w:val="000000"/>
          <w:spacing w:val="-1"/>
          <w:u w:val="none"/>
        </w:rPr>
        <w:t>Մաքսատուրքերի</w:t>
      </w:r>
      <w:r w:rsidR="00EB1EEC" w:rsidRPr="00EB1EEC">
        <w:rPr>
          <w:rStyle w:val="ListLabel857"/>
          <w:rFonts w:ascii="GHEA Grapalat" w:hAnsi="GHEA Grapalat" w:cs="Arial"/>
          <w:color w:val="000000"/>
          <w:spacing w:val="-1"/>
          <w:u w:val="none"/>
        </w:rPr>
        <w:t xml:space="preserve"> </w:t>
      </w:r>
      <w:r w:rsidR="00EB1EEC" w:rsidRPr="00EB1EEC">
        <w:rPr>
          <w:rStyle w:val="ListLabel857"/>
          <w:rFonts w:ascii="GHEA Grapalat" w:hAnsi="GHEA Grapalat" w:cs="Sylfaen"/>
          <w:color w:val="000000"/>
          <w:spacing w:val="-1"/>
          <w:u w:val="none"/>
        </w:rPr>
        <w:t>չեղյալ</w:t>
      </w:r>
      <w:r w:rsidR="00EB1EEC" w:rsidRPr="00EB1EEC">
        <w:rPr>
          <w:rStyle w:val="ListLabel857"/>
          <w:rFonts w:ascii="GHEA Grapalat" w:hAnsi="GHEA Grapalat" w:cs="Arial"/>
          <w:color w:val="000000"/>
          <w:spacing w:val="-1"/>
          <w:u w:val="none"/>
        </w:rPr>
        <w:t xml:space="preserve"> </w:t>
      </w:r>
      <w:r w:rsidR="00EB1EEC" w:rsidRPr="00EB1EEC">
        <w:rPr>
          <w:rStyle w:val="ListLabel857"/>
          <w:rFonts w:ascii="GHEA Grapalat" w:hAnsi="GHEA Grapalat" w:cs="Sylfaen"/>
          <w:color w:val="000000"/>
          <w:spacing w:val="-1"/>
          <w:u w:val="none"/>
        </w:rPr>
        <w:t>համարելը</w:t>
      </w:r>
      <w:r w:rsidR="00EB1EEC" w:rsidRPr="00EB1EEC">
        <w:rPr>
          <w:rStyle w:val="ListLabel857"/>
          <w:rFonts w:ascii="GHEA Grapalat" w:hAnsi="GHEA Grapalat" w:cs="Arial"/>
          <w:color w:val="000000"/>
          <w:spacing w:val="-1"/>
          <w:u w:val="none"/>
        </w:rPr>
        <w:t xml:space="preserve"> </w:t>
      </w:r>
      <w:r w:rsidR="00EB1EEC" w:rsidRPr="00EB1EEC">
        <w:rPr>
          <w:rStyle w:val="ListLabel857"/>
          <w:rFonts w:ascii="GHEA Grapalat" w:hAnsi="GHEA Grapalat" w:cs="Sylfaen"/>
          <w:color w:val="000000"/>
          <w:spacing w:val="-1"/>
          <w:u w:val="none"/>
        </w:rPr>
        <w:t>և</w:t>
      </w:r>
      <w:r w:rsidR="00EB1EEC" w:rsidRPr="00EB1EEC">
        <w:rPr>
          <w:rStyle w:val="ListLabel857"/>
          <w:rFonts w:ascii="GHEA Grapalat" w:hAnsi="GHEA Grapalat" w:cs="Arial"/>
          <w:color w:val="000000"/>
          <w:spacing w:val="-1"/>
          <w:u w:val="none"/>
        </w:rPr>
        <w:t xml:space="preserve"> </w:t>
      </w:r>
      <w:r w:rsidR="00EB1EEC" w:rsidRPr="00EB1EEC">
        <w:rPr>
          <w:rStyle w:val="ListLabel857"/>
          <w:rFonts w:ascii="GHEA Grapalat" w:hAnsi="GHEA Grapalat" w:cs="Sylfaen"/>
          <w:color w:val="000000"/>
          <w:spacing w:val="-1"/>
          <w:u w:val="none"/>
        </w:rPr>
        <w:t>նվազեցումը</w:t>
      </w:r>
      <w:r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) համաձայն՝ Սինգապուրը վերացն</w:t>
      </w:r>
      <w:r w:rsidR="006F5075"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ում </w:t>
      </w:r>
      <w:r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է Ե</w:t>
      </w:r>
      <w:r w:rsidR="006F5075"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Ա</w:t>
      </w:r>
      <w:r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ՏՄ անդամ պետություններից ծագող բոլոր ապրանքների </w:t>
      </w:r>
      <w:r w:rsidR="006F5075"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հանդեպ </w:t>
      </w:r>
      <w:r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 xml:space="preserve">մաքսատուրքերը սույն Համաձայնագրի ուժի մեջ մտնելու պահից, և այդպիսի ապրանքները </w:t>
      </w:r>
      <w:r w:rsidR="006F5075"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հետա</w:t>
      </w:r>
      <w:r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գայում կազատվեն ցանկացած մաքսատուրք</w:t>
      </w:r>
      <w:r w:rsidR="006F5075"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եր</w:t>
      </w:r>
      <w:r w:rsidRPr="00EB1EEC">
        <w:rPr>
          <w:rStyle w:val="ListLabel857"/>
          <w:rFonts w:ascii="GHEA Grapalat" w:hAnsi="GHEA Grapalat" w:cs="Mangal"/>
          <w:color w:val="auto"/>
          <w:spacing w:val="-1"/>
          <w:u w:val="none"/>
          <w:lang w:val="hy-AM"/>
        </w:rPr>
        <w:t>ից:</w:t>
      </w:r>
    </w:p>
    <w:p w:rsidR="00934558" w:rsidRPr="009E3419" w:rsidRDefault="00934558" w:rsidP="00934558">
      <w:pPr>
        <w:jc w:val="both"/>
        <w:rPr>
          <w:rFonts w:ascii="GHEA Grapalat" w:hAnsi="GHEA Grapalat" w:cs="Mangal"/>
          <w:lang w:val="hy-AM"/>
        </w:rPr>
      </w:pPr>
    </w:p>
    <w:p w:rsidR="00B97812" w:rsidRPr="00B4046D" w:rsidRDefault="00B97812">
      <w:pPr>
        <w:rPr>
          <w:lang w:val="hy-AM"/>
        </w:rPr>
      </w:pPr>
    </w:p>
    <w:sectPr w:rsidR="00B97812" w:rsidRPr="00B40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93CCB"/>
    <w:multiLevelType w:val="hybridMultilevel"/>
    <w:tmpl w:val="937EF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265D9"/>
    <w:multiLevelType w:val="hybridMultilevel"/>
    <w:tmpl w:val="2884AC8C"/>
    <w:lvl w:ilvl="0" w:tplc="4F606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B85F1A"/>
    <w:multiLevelType w:val="hybridMultilevel"/>
    <w:tmpl w:val="4008C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BB"/>
    <w:rsid w:val="006F5075"/>
    <w:rsid w:val="00934558"/>
    <w:rsid w:val="009E3419"/>
    <w:rsid w:val="00B4046D"/>
    <w:rsid w:val="00B97812"/>
    <w:rsid w:val="00CC04BB"/>
    <w:rsid w:val="00D141ED"/>
    <w:rsid w:val="00E1120C"/>
    <w:rsid w:val="00EB1EEC"/>
    <w:rsid w:val="00ED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3455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857">
    <w:name w:val="ListLabel 857"/>
    <w:rsid w:val="00934558"/>
    <w:rPr>
      <w:color w:val="0000FF"/>
      <w:u w:val="single" w:color="000000"/>
    </w:rPr>
  </w:style>
  <w:style w:type="paragraph" w:styleId="ListParagraph">
    <w:name w:val="List Paragraph"/>
    <w:basedOn w:val="Normal"/>
    <w:uiPriority w:val="34"/>
    <w:qFormat/>
    <w:rsid w:val="00934558"/>
    <w:pPr>
      <w:ind w:left="720"/>
      <w:contextualSpacing/>
    </w:pPr>
  </w:style>
  <w:style w:type="paragraph" w:styleId="BodyText">
    <w:name w:val="Body Text"/>
    <w:basedOn w:val="Normal"/>
    <w:link w:val="BodyTextChar"/>
    <w:rsid w:val="00EB1EEC"/>
    <w:pPr>
      <w:widowControl/>
      <w:suppressAutoHyphens/>
      <w:spacing w:after="140" w:line="276" w:lineRule="auto"/>
    </w:pPr>
    <w:rPr>
      <w:rFonts w:ascii="Times New Roman" w:eastAsia="Times New Roman" w:hAnsi="Times New Roman" w:cs="Times New Roman"/>
      <w:color w:val="auto"/>
      <w:sz w:val="20"/>
      <w:szCs w:val="20"/>
      <w:lang w:val="hy-AM" w:eastAsia="zh-CN" w:bidi="hi-IN"/>
    </w:rPr>
  </w:style>
  <w:style w:type="character" w:customStyle="1" w:styleId="BodyTextChar">
    <w:name w:val="Body Text Char"/>
    <w:basedOn w:val="DefaultParagraphFont"/>
    <w:link w:val="BodyText"/>
    <w:rsid w:val="00EB1EEC"/>
    <w:rPr>
      <w:rFonts w:ascii="Times New Roman" w:eastAsia="Times New Roman" w:hAnsi="Times New Roman" w:cs="Times New Roman"/>
      <w:sz w:val="20"/>
      <w:szCs w:val="20"/>
      <w:lang w:val="hy-AM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3455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857">
    <w:name w:val="ListLabel 857"/>
    <w:rsid w:val="00934558"/>
    <w:rPr>
      <w:color w:val="0000FF"/>
      <w:u w:val="single" w:color="000000"/>
    </w:rPr>
  </w:style>
  <w:style w:type="paragraph" w:styleId="ListParagraph">
    <w:name w:val="List Paragraph"/>
    <w:basedOn w:val="Normal"/>
    <w:uiPriority w:val="34"/>
    <w:qFormat/>
    <w:rsid w:val="00934558"/>
    <w:pPr>
      <w:ind w:left="720"/>
      <w:contextualSpacing/>
    </w:pPr>
  </w:style>
  <w:style w:type="paragraph" w:styleId="BodyText">
    <w:name w:val="Body Text"/>
    <w:basedOn w:val="Normal"/>
    <w:link w:val="BodyTextChar"/>
    <w:rsid w:val="00EB1EEC"/>
    <w:pPr>
      <w:widowControl/>
      <w:suppressAutoHyphens/>
      <w:spacing w:after="140" w:line="276" w:lineRule="auto"/>
    </w:pPr>
    <w:rPr>
      <w:rFonts w:ascii="Times New Roman" w:eastAsia="Times New Roman" w:hAnsi="Times New Roman" w:cs="Times New Roman"/>
      <w:color w:val="auto"/>
      <w:sz w:val="20"/>
      <w:szCs w:val="20"/>
      <w:lang w:val="hy-AM" w:eastAsia="zh-CN" w:bidi="hi-IN"/>
    </w:rPr>
  </w:style>
  <w:style w:type="character" w:customStyle="1" w:styleId="BodyTextChar">
    <w:name w:val="Body Text Char"/>
    <w:basedOn w:val="DefaultParagraphFont"/>
    <w:link w:val="BodyText"/>
    <w:rsid w:val="00EB1EEC"/>
    <w:rPr>
      <w:rFonts w:ascii="Times New Roman" w:eastAsia="Times New Roman" w:hAnsi="Times New Roman" w:cs="Times New Roman"/>
      <w:sz w:val="20"/>
      <w:szCs w:val="20"/>
      <w:lang w:val="hy-AM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T. Hayrapetyan</dc:creator>
  <cp:keywords/>
  <dc:description/>
  <cp:lastModifiedBy>Kristine T. Hayrapetyan</cp:lastModifiedBy>
  <cp:revision>9</cp:revision>
  <dcterms:created xsi:type="dcterms:W3CDTF">2019-09-09T12:16:00Z</dcterms:created>
  <dcterms:modified xsi:type="dcterms:W3CDTF">2019-09-10T13:00:00Z</dcterms:modified>
</cp:coreProperties>
</file>